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ind w:right="11"/>
        <w:jc w:val="distribute"/>
        <w:rPr>
          <w:color w:val="FF0000"/>
        </w:rPr>
      </w:pPr>
      <w:bookmarkStart w:id="0" w:name="bSecretLvl"/>
      <w:r>
        <w:rPr>
          <w:rFonts w:hint="eastAsia" w:ascii="方正小标宋_GBK" w:hAnsi="方正小标宋_GBK" w:eastAsia="方正小标宋_GBK" w:cs="方正小标宋_GBK"/>
          <w:color w:val="FF0000"/>
          <w:w w:val="66"/>
          <w:sz w:val="76"/>
          <w:szCs w:val="76"/>
        </w:rPr>
        <w:t>广州空港经济区管理委员会</w:t>
      </w:r>
    </w:p>
    <w:p>
      <w:pPr>
        <w:spacing w:line="800" w:lineRule="exact"/>
        <w:ind w:right="11"/>
        <w:jc w:val="distribute"/>
        <w:rPr>
          <w:color w:val="FF0000"/>
        </w:rPr>
      </w:pPr>
      <w:r>
        <w:rPr>
          <w:rFonts w:hint="eastAsia" w:ascii="方正小标宋_GBK" w:hAnsi="方正小标宋_GBK" w:eastAsia="方正小标宋_GBK" w:cs="方正小标宋_GBK"/>
          <w:color w:val="FF0000"/>
          <w:w w:val="66"/>
          <w:sz w:val="76"/>
          <w:szCs w:val="76"/>
        </w:rPr>
        <w:t>广州白云机场综合保税区管理委员会</w:t>
      </w:r>
    </w:p>
    <w:p>
      <w:pPr>
        <w:pStyle w:val="2"/>
        <w:spacing w:line="240" w:lineRule="exact"/>
        <w:rPr>
          <w:rFonts w:hint="eastAsia" w:ascii="仿宋_GB2312" w:eastAsia="宋体"/>
          <w:sz w:val="32"/>
          <w:szCs w:val="32"/>
          <w:lang w:eastAsia="zh-CN"/>
        </w:rPr>
      </w:pPr>
      <w:r>
        <w:rPr>
          <w:rFonts w:eastAsia="宋体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86360</wp:posOffset>
                </wp:positionV>
                <wp:extent cx="5634990" cy="0"/>
                <wp:effectExtent l="0" t="28575" r="381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499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9pt;margin-top:6.8pt;height:0pt;width:443.7pt;z-index:251658240;mso-width-relative:page;mso-height-relative:page;" filled="f" stroked="t" coordsize="21600,21600" o:gfxdata="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4D4UjTAAAACAEA&#10;AA8AAAAAAAAAAQAgAAAAIgAAAGRycy9kb3ducmV2LnhtbFBLAQIUABQAAAAIAIdO4kBXrDsn5gEA&#10;AKsDAAAOAAAAAAAAAAEAIAAAACIBAABkcnMvZTJvRG9jLnhtbFBLBQYAAAAABgAGAFkBAAB6BQAA&#10;AAA=&#10;">
                <v:path arrowok="t"/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项目代码：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2106-440100-04-01-902707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210" w:firstLine="32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w w:val="100"/>
          <w:sz w:val="44"/>
          <w:szCs w:val="44"/>
          <w:lang w:val="en-US" w:eastAsia="zh-CN"/>
        </w:rPr>
        <w:t>广州空港经济区管理委员会关于集富路（龙港路-飞粤大道）工程</w:t>
      </w:r>
      <w:r>
        <w:rPr>
          <w:rFonts w:hint="eastAsia" w:ascii="方正小标宋_GBK" w:hAnsi="方正小标宋_GBK" w:eastAsia="方正小标宋_GBK" w:cs="方正小标宋_GBK"/>
          <w:color w:val="auto"/>
          <w:w w:val="100"/>
          <w:sz w:val="44"/>
          <w:szCs w:val="44"/>
          <w:lang w:val="zh-CN" w:eastAsia="zh-CN"/>
        </w:rPr>
        <w:t>可行性研究报告</w:t>
      </w:r>
      <w:r>
        <w:rPr>
          <w:rFonts w:hint="eastAsia" w:ascii="方正小标宋_GBK" w:hAnsi="方正小标宋_GBK" w:eastAsia="方正小标宋_GBK" w:cs="方正小标宋_GBK"/>
          <w:color w:val="auto"/>
          <w:w w:val="100"/>
          <w:sz w:val="44"/>
          <w:szCs w:val="44"/>
          <w:lang w:val="en-US" w:eastAsia="zh-CN"/>
        </w:rPr>
        <w:t>的复函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穗空港经财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zh-CN"/>
        </w:rPr>
        <w:t>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zh-CN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广州空港经济区管理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员会（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国土规划和建设局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关于申报集富路（龙港路-飞粤大道）工程可行性研究报告的函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及有关资料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收悉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按照联审决策委员会会议（穗空港联审委〔2023〕1号）批复的建设方案，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研究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，现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就项目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可行性研究报告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函复如下：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经评审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原则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同意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你单位报来的《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集富路（龙港路-飞粤大道）工程可行性研究报告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》（修编版）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二、建设规模和建设内容：集富路（龙港路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飞粤大道）工程位于空港起步区，呈东西走向，项目西起于龙港路，途经机场安置区、花安中路、花安东路，终点与飞粤大道相接，全长约1480m，道路红线宽度30m，双向四车道，规划为城市次干路，设计速度40km/h。建设内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包括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道路工程、交通工程、涵洞工程、照明工程、电力管沟、给排水工程、景观绿化工程等。</w:t>
      </w:r>
    </w:p>
    <w:p>
      <w:pPr>
        <w:spacing w:beforeLines="0" w:afterLines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三、投资估算及资金来源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 w:eastAsia="zh-CN" w:bidi="ar-SA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该项目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估算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总投资为56374.21万元，其中：工程费用11247.83万元，工程建设其他费用44097.03 万元，预备费1029.35万元。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 w:eastAsia="zh-CN" w:bidi="ar-SA"/>
        </w:rPr>
        <w:t>资金来源为财政资金，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委国土规划和建设局城市基础设施建设经费中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 w:eastAsia="zh-CN" w:bidi="ar-SA"/>
        </w:rPr>
        <w:t>列支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四、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项目由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你局按有关规定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组织实施建设。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建设工期。项目建设施工工期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招标事项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工程招标核准意见详见附件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、本审批文件有效期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年。有效期内完成下一阶段审批工作的，本审批文件持续有效；有效期届满时未完成下一阶段审批工作的，在有效期满前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个月内向我委（局）申请延期，未办理延期手续的，本审批文件自动失效。</w:t>
      </w: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  <w:lang w:val="zh-CN"/>
        </w:rPr>
        <w:t>附件：广州市工程招标核准意见表</w:t>
      </w: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126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126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126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zh-CN"/>
        </w:rPr>
      </w:pPr>
    </w:p>
    <w:p>
      <w:pPr>
        <w:pStyle w:val="2"/>
        <w:rPr>
          <w:rFonts w:hint="default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126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zh-CN"/>
        </w:rPr>
        <w:t>公开方式：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主动公开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1260" w:firstLine="280" w:firstLineChars="100"/>
        <w:textAlignment w:val="auto"/>
      </w:pPr>
      <w:r>
        <w:rPr>
          <w:rFonts w:hint="default" w:ascii="Times New Roman" w:hAnsi="Times New Roman" w:eastAsia="仿宋_GB2312" w:cs="Times New Roman"/>
          <w:sz w:val="28"/>
          <w:szCs w:val="28"/>
          <w:lang w:val="zh-CN"/>
        </w:rPr>
        <w:t>抄送：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市发展改革委、</w:t>
      </w:r>
      <w:r>
        <w:rPr>
          <w:rFonts w:hint="default" w:ascii="Times New Roman" w:hAnsi="Times New Roman" w:eastAsia="仿宋_GB2312" w:cs="Times New Roman"/>
          <w:sz w:val="28"/>
          <w:szCs w:val="28"/>
          <w:lang w:val="zh-CN"/>
        </w:rPr>
        <w:t>市财政局。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1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广州市工程招标核准意见表</w:t>
      </w:r>
    </w:p>
    <w:bookmarkEnd w:id="1"/>
    <w:p>
      <w:pPr>
        <w:pStyle w:val="2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</w:p>
    <w:p>
      <w:pPr>
        <w:pStyle w:val="2"/>
        <w:ind w:left="0" w:leftChars="0" w:firstLine="240" w:firstLineChars="10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建设项目名称：</w:t>
      </w:r>
      <w:r>
        <w:rPr>
          <w:rFonts w:hint="eastAsia" w:ascii="仿宋_GB2312" w:hAnsi="仿宋_GB2312" w:eastAsia="仿宋_GB2312" w:cs="仿宋_GB2312"/>
          <w:sz w:val="24"/>
          <w:szCs w:val="24"/>
          <w:lang w:val="zh-CN" w:eastAsia="zh-CN"/>
        </w:rPr>
        <w:t>集富路（龙港路-飞粤大道）工程</w:t>
      </w:r>
    </w:p>
    <w:tbl>
      <w:tblPr>
        <w:tblStyle w:val="3"/>
        <w:tblW w:w="87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080"/>
        <w:gridCol w:w="960"/>
        <w:gridCol w:w="1028"/>
        <w:gridCol w:w="1113"/>
        <w:gridCol w:w="709"/>
        <w:gridCol w:w="992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19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招标范围</w:t>
            </w:r>
          </w:p>
        </w:tc>
        <w:tc>
          <w:tcPr>
            <w:tcW w:w="214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招标组织形式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招标方式</w:t>
            </w:r>
          </w:p>
        </w:tc>
        <w:tc>
          <w:tcPr>
            <w:tcW w:w="1205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不采用招标方式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exact"/>
          <w:jc w:val="center"/>
        </w:trPr>
        <w:tc>
          <w:tcPr>
            <w:tcW w:w="1619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全部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招标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部分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招标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自行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招标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委托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招标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公开招标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邀请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招标</w:t>
            </w:r>
          </w:p>
        </w:tc>
        <w:tc>
          <w:tcPr>
            <w:tcW w:w="120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1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勘察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核准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核准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核准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1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核准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核准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核准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1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施工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核准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核准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核准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1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监理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核准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核准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核准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1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重要设备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核准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核准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核准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1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材料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核准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核准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核准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2" w:hRule="exact"/>
          <w:jc w:val="center"/>
        </w:trPr>
        <w:tc>
          <w:tcPr>
            <w:tcW w:w="8706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核准意见：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根据《中华人民共和国招标投标法》《中华人民共和国招标投标法实施条例》《必须招标的工程项目规定》和《广东省实施（中华人民共和国招标投标法）办法》等有关规定，本项目的勘察、设计、建筑工程、监理、设备及重要材料等应采取全部、委托、公开招标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核准部门盖章</w:t>
            </w:r>
          </w:p>
          <w:p>
            <w:pPr>
              <w:pStyle w:val="2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2023年9月28日</w:t>
            </w:r>
          </w:p>
        </w:tc>
      </w:tr>
    </w:tbl>
    <w:p>
      <w:pPr>
        <w:spacing w:line="460" w:lineRule="exact"/>
      </w:pPr>
    </w:p>
    <w:p/>
    <w:p/>
    <w:p/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347DE"/>
    <w:rsid w:val="3AD3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2023-10-01T12:32:00Z</dcterms:created>
  <dc:creator>林春旭</dc:creator>
  <cp:lastModifiedBy>林春旭</cp:lastModifiedBy>
  <dcterms:modified xsi:type="dcterms:W3CDTF">2023-10-01T12:33:21Z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